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tbl>
      <w:tblPr>
        <w:tblStyle w:val="4"/>
        <w:tblW w:w="96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649"/>
        <w:gridCol w:w="1365"/>
        <w:gridCol w:w="1305"/>
        <w:gridCol w:w="1545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河南财经政法大学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8级各专业拟接收人数呈报表</w:t>
            </w:r>
          </w:p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：经济学院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录取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批次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专业（（含类别、方向））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有学籍在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校生人数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转入人数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转入人数比例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普通本科一批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经济学（经济计量方向）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能源经济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普通本科二批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合作办学类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经济学（引进课程）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70" w:hRule="atLeast"/>
          <w:jc w:val="center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widowControl/>
        <w:rPr>
          <w:rFonts w:ascii="仿宋" w:hAnsi="仿宋" w:eastAsia="仿宋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</w:rPr>
        <w:t>院长（主任）签字：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679A"/>
    <w:rsid w:val="04AB104A"/>
    <w:rsid w:val="22FE679A"/>
    <w:rsid w:val="5CE26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2019-04-03T02:12:00Z</dcterms:created>
  <dc:creator>Administrator</dc:creator>
  <cp:lastModifiedBy>Administrator</cp:lastModifiedBy>
  <dcterms:modified xsi:type="dcterms:W3CDTF">2019-04-12T01:25:13Z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